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fldChar w:fldCharType="begin"/>
      </w:r>
      <w:r>
        <w:rPr>
          <w:b w:val="1"/>
          <w:sz w:val="24"/>
        </w:rPr>
        <w:instrText>HYPERLINK "consultantplus://offline/ref=45C9452C69440551CCE66A90C1918BB731A858D115EE02C23F8F9C8EEEB03937FE87D57E4BFDF979F28516F693FC0133D80B21830968780AZ4VBL"</w:instrText>
      </w:r>
      <w:r>
        <w:rPr>
          <w:b w:val="1"/>
          <w:sz w:val="24"/>
        </w:rPr>
        <w:fldChar w:fldCharType="separate"/>
      </w:r>
      <w:r>
        <w:rPr>
          <w:b w:val="1"/>
          <w:sz w:val="24"/>
        </w:rPr>
        <w:t>ДОГОВОР</w:t>
      </w:r>
      <w:r>
        <w:rPr>
          <w:b w:val="1"/>
          <w:sz w:val="24"/>
        </w:rPr>
        <w:fldChar w:fldCharType="end"/>
      </w:r>
      <w:r>
        <w:rPr>
          <w:b w:val="1"/>
          <w:sz w:val="24"/>
        </w:rPr>
        <w:t xml:space="preserve"> поставки  </w:t>
      </w:r>
      <w:r>
        <w:rPr>
          <w:b w:val="1"/>
          <w:sz w:val="24"/>
        </w:rPr>
        <w:t>№</w:t>
      </w:r>
      <w:r>
        <w:rPr>
          <w:b w:val="1"/>
          <w:sz w:val="24"/>
        </w:rPr>
        <w:t xml:space="preserve"> 13</w:t>
      </w:r>
    </w:p>
    <w:p w14:paraId="05000000">
      <w:pPr>
        <w:pStyle w:val="Style_4"/>
        <w:ind/>
        <w:jc w:val="center"/>
        <w:rPr>
          <w:b w:val="1"/>
          <w:sz w:val="24"/>
        </w:rPr>
      </w:pPr>
    </w:p>
    <w:p w14:paraId="06000000">
      <w:pPr>
        <w:pStyle w:val="Style_4"/>
        <w:ind/>
        <w:jc w:val="both"/>
        <w:rPr>
          <w:sz w:val="24"/>
        </w:rPr>
      </w:pPr>
    </w:p>
    <w:p w14:paraId="07000000">
      <w:pPr>
        <w:pStyle w:val="Style_4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г. Челябинск</w:t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 xml:space="preserve">              </w:t>
      </w:r>
      <w:r>
        <w:rPr>
          <w:rStyle w:val="Style_2_ch"/>
          <w:sz w:val="24"/>
        </w:rPr>
        <w:t xml:space="preserve">« </w:t>
      </w:r>
      <w:r>
        <w:rPr>
          <w:rStyle w:val="Style_2_ch"/>
          <w:i w:val="1"/>
          <w:sz w:val="24"/>
        </w:rPr>
        <w:t xml:space="preserve"> </w:t>
      </w:r>
      <w:r>
        <w:rPr>
          <w:rStyle w:val="Style_2_ch"/>
          <w:sz w:val="24"/>
        </w:rPr>
        <w:t xml:space="preserve">____ » </w:t>
      </w:r>
      <w:r>
        <w:rPr>
          <w:rStyle w:val="Style_2_ch"/>
          <w:i w:val="1"/>
          <w:sz w:val="24"/>
          <w:u w:val="single"/>
        </w:rPr>
        <w:t xml:space="preserve">___________   </w:t>
      </w:r>
      <w:r>
        <w:rPr>
          <w:rStyle w:val="Style_2_ch"/>
          <w:sz w:val="24"/>
        </w:rPr>
        <w:t>2023   г.</w:t>
      </w:r>
    </w:p>
    <w:p w14:paraId="08000000">
      <w:pPr>
        <w:pStyle w:val="Style_4"/>
        <w:ind/>
        <w:jc w:val="both"/>
        <w:rPr>
          <w:sz w:val="22"/>
        </w:rPr>
      </w:pPr>
    </w:p>
    <w:p w14:paraId="09000000">
      <w:pPr>
        <w:pStyle w:val="Style_4"/>
        <w:ind/>
        <w:jc w:val="both"/>
        <w:rPr>
          <w:sz w:val="22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i w:val="1"/>
          <w:sz w:val="23"/>
        </w:rPr>
        <w:t xml:space="preserve">Индивидуальный предприниматель </w:t>
      </w:r>
      <w:r>
        <w:rPr>
          <w:rFonts w:ascii="Times New Roman" w:hAnsi="Times New Roman"/>
          <w:b w:val="1"/>
          <w:i w:val="1"/>
          <w:sz w:val="23"/>
        </w:rPr>
        <w:t>Данилов  Сергей</w:t>
      </w:r>
      <w:r>
        <w:rPr>
          <w:rFonts w:ascii="Times New Roman" w:hAnsi="Times New Roman"/>
          <w:b w:val="1"/>
          <w:i w:val="1"/>
          <w:sz w:val="23"/>
        </w:rPr>
        <w:t xml:space="preserve"> Александрович</w:t>
      </w:r>
      <w:r>
        <w:rPr>
          <w:rFonts w:ascii="Times New Roman" w:hAnsi="Times New Roman"/>
          <w:sz w:val="23"/>
        </w:rPr>
        <w:t xml:space="preserve">, именуемое в дальнейшем Поставщик, в лице </w:t>
      </w:r>
      <w:r>
        <w:rPr>
          <w:rFonts w:ascii="Times New Roman" w:hAnsi="Times New Roman"/>
          <w:sz w:val="23"/>
        </w:rPr>
        <w:t>Данилова С.А., действующего</w:t>
      </w:r>
      <w:r>
        <w:rPr>
          <w:rFonts w:ascii="Times New Roman" w:hAnsi="Times New Roman"/>
          <w:sz w:val="23"/>
        </w:rPr>
        <w:t xml:space="preserve"> на основании Свидетельства о регистрации </w:t>
      </w:r>
      <w:r>
        <w:rPr>
          <w:rFonts w:ascii="Times New Roman" w:hAnsi="Times New Roman"/>
          <w:sz w:val="23"/>
        </w:rPr>
        <w:t>серия 74 № 005057109 от 01.02.2008г.</w:t>
      </w:r>
      <w:r>
        <w:rPr>
          <w:rFonts w:ascii="Times New Roman" w:hAnsi="Times New Roman"/>
          <w:sz w:val="23"/>
        </w:rPr>
        <w:t xml:space="preserve">, с одной стороны, и </w:t>
      </w:r>
      <w:r>
        <w:rPr>
          <w:rFonts w:ascii="Times New Roman" w:hAnsi="Times New Roman"/>
          <w:sz w:val="23"/>
          <w:u w:val="single"/>
        </w:rPr>
        <w:t xml:space="preserve">________________________________, </w:t>
      </w:r>
      <w:r>
        <w:rPr>
          <w:rFonts w:ascii="Times New Roman" w:hAnsi="Times New Roman"/>
          <w:sz w:val="23"/>
          <w:u w:val="single"/>
        </w:rPr>
        <w:t xml:space="preserve"> в лице ________________________________</w:t>
      </w:r>
      <w:r>
        <w:rPr>
          <w:rFonts w:ascii="Times New Roman" w:hAnsi="Times New Roman"/>
          <w:sz w:val="23"/>
          <w:u w:val="single"/>
        </w:rPr>
        <w:t>, действующего на основании</w:t>
      </w:r>
      <w:r>
        <w:rPr>
          <w:rFonts w:ascii="Times New Roman" w:hAnsi="Times New Roman"/>
          <w:sz w:val="23"/>
        </w:rPr>
        <w:t xml:space="preserve">_________________________________ </w:t>
      </w:r>
      <w:r>
        <w:rPr>
          <w:rFonts w:ascii="Times New Roman" w:hAnsi="Times New Roman"/>
          <w:sz w:val="23"/>
        </w:rPr>
        <w:t xml:space="preserve"> именуемое в дальнейшем Покупатель, </w:t>
      </w:r>
      <w:r>
        <w:rPr>
          <w:rFonts w:ascii="Times New Roman" w:hAnsi="Times New Roman"/>
          <w:sz w:val="23"/>
        </w:rPr>
        <w:t>с другой стороны, далее именуемые Стороны, заключили настоящий Договор о нижеследующем:</w:t>
      </w:r>
    </w:p>
    <w:p w14:paraId="0B000000">
      <w:pPr>
        <w:pStyle w:val="Style_4"/>
        <w:ind/>
        <w:jc w:val="center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1. П</w:t>
      </w:r>
      <w:r>
        <w:rPr>
          <w:rFonts w:ascii="Times New Roman" w:hAnsi="Times New Roman"/>
          <w:b w:val="1"/>
          <w:sz w:val="23"/>
        </w:rPr>
        <w:t>редмет и общие условия договора</w:t>
      </w:r>
    </w:p>
    <w:p w14:paraId="0C000000">
      <w:pPr>
        <w:pStyle w:val="Style_4"/>
        <w:numPr>
          <w:ilvl w:val="1"/>
          <w:numId w:val="1"/>
        </w:numPr>
        <w:ind w:firstLine="225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Поставщик обязуется по заявке Покупателя изготовить и передать в его собственность Продукцию , либо Товар ( в дальнейшем по тексту договора Товар), и  (или)  оказать Услуги, указанные в п. 1,2 настоящего договора, а Покупатель обязуется принять и оплатить Товар и ( или) Услуги в порядке и на условиях, предусмотренных в договоре.</w:t>
      </w:r>
    </w:p>
    <w:p w14:paraId="0D000000">
      <w:pPr>
        <w:pStyle w:val="Style_4"/>
        <w:numPr>
          <w:ilvl w:val="1"/>
          <w:numId w:val="1"/>
        </w:numPr>
        <w:ind w:firstLine="225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Под Товаров в настоящем договоре понимаются товары, согласованные в Спецификации. Под услугами услуги, связанные с подготовкой Товара, транспортные услуги, связанные с доставкой Товара и др., согласованные сторонами в спецификации.  </w:t>
      </w:r>
    </w:p>
    <w:p w14:paraId="0E000000">
      <w:pPr>
        <w:pStyle w:val="Style_4"/>
        <w:numPr>
          <w:ilvl w:val="1"/>
          <w:numId w:val="1"/>
        </w:numPr>
        <w:ind w:firstLine="225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Стороны договора считают необходимым зафиксировать, что их отношения по данному договору планируются ими как долгосрочные, направленные на установление и закрепление длительных хозяйственно-коммерческих связей в интересах обеих сторон.</w:t>
      </w:r>
    </w:p>
    <w:p w14:paraId="0F000000">
      <w:pPr>
        <w:pStyle w:val="Style_4"/>
        <w:numPr>
          <w:ilvl w:val="1"/>
          <w:numId w:val="1"/>
        </w:numPr>
        <w:ind w:firstLine="225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Количество, ассортимент, технические характеристики и требования, перечень сопроводительных документов, цена Товара, состав и цену услуг, а также сроки изготовления и поставки согласовываются сторонами в Спецификации. Стороны вправе согласовывать указанные условия перед каждым заказом путем подписания Дополнительного соглашения к договору (Спецификации) , являющейся его неотъемлемой частью. </w:t>
      </w:r>
    </w:p>
    <w:p w14:paraId="10000000">
      <w:pPr>
        <w:pStyle w:val="Style_4"/>
        <w:numPr>
          <w:ilvl w:val="1"/>
          <w:numId w:val="1"/>
        </w:numPr>
        <w:ind w:firstLine="225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Стороны договора считают необходимым зафиксировать, что цена на Товар, цена  услуг определяется в соответствии с условиями Спецификации и (или)  подписанной представителями сторон товарной, товарно-транспортной накладной, либо универсального передаточного документа, либо документа о передаче Товара, оказания услуг.</w:t>
      </w:r>
    </w:p>
    <w:p w14:paraId="11000000">
      <w:pPr>
        <w:pStyle w:val="Style_4"/>
        <w:numPr>
          <w:ilvl w:val="1"/>
          <w:numId w:val="1"/>
        </w:numPr>
        <w:ind w:firstLine="225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Стороны определили, что право собственности, а также риск случайной гибели или повреждения Товара переходит с поставщика на покупателя в момент сдачи Товара Поставщиком первому перевозчику в случае самовывоза Покупателем или доставки транспортом поставщика – в момент сдачи Товара Покупателю. Одновременно  происходит и предача товаросопроводительных документов.</w:t>
      </w:r>
      <w:bookmarkStart w:id="1" w:name="P19"/>
      <w:bookmarkEnd w:id="1"/>
    </w:p>
    <w:p w14:paraId="12000000">
      <w:pPr>
        <w:pStyle w:val="Style_4"/>
        <w:ind/>
        <w:jc w:val="center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2. Порядок и условия поставки</w:t>
      </w:r>
    </w:p>
    <w:p w14:paraId="13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2.1. Поставка осуществляется со склада Поставщика, расположенного по адресу: г. Челябинск, Копейское шоссе, 32 в сроки, оговоренные сторонами в Спецификации.</w:t>
      </w:r>
    </w:p>
    <w:p w14:paraId="14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2.2. Доставка Товара осуществляется на условиях самовывоза. По соглашению Сторон условия поставки Товара могут быть изменены и дополнительно оговорены в Спецификациях.</w:t>
      </w:r>
    </w:p>
    <w:p w14:paraId="15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2.3. Поставщик обеспечивает погрузку Товара со своего склада в транспортное средство Покупателя своими силами и средствам.</w:t>
      </w:r>
    </w:p>
    <w:p w14:paraId="16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2.4. Поставка Товара осуществляется в таре и упаковке, позволяющей обеспечить сохранность Товара во время транспортировки пр  соблюдении правил транспортировки.</w:t>
      </w:r>
    </w:p>
    <w:p w14:paraId="17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2.5. При осуществлении поставки Товара Продавец обязуется выдать на каждую партию Товара УПД ( товарную накладную, счет-фактуру) другие сопроводительные документы, указанные в Спецификации.</w:t>
      </w:r>
    </w:p>
    <w:p w14:paraId="18000000">
      <w:pPr>
        <w:pStyle w:val="Style_4"/>
        <w:ind w:firstLine="283" w:left="0"/>
        <w:jc w:val="center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3. Порядок приемки Товара</w:t>
      </w:r>
    </w:p>
    <w:p w14:paraId="19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3.1. Товар, являющийся предметом настоящего Договора, принимается Покупателем на основании товаросопроводительных документов</w:t>
      </w:r>
    </w:p>
    <w:p w14:paraId="1A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3.2. </w:t>
      </w:r>
      <w:r>
        <w:rPr>
          <w:rFonts w:ascii="Times New Roman" w:hAnsi="Times New Roman"/>
          <w:sz w:val="23"/>
        </w:rPr>
        <w:t xml:space="preserve"> Окончательная приемка Товара производится на складе Покупателя.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случае обнаружения недостачи Товара в упаковках, Покупатель обязан в трехдневный срок сообщить об этом Поставщику в письменной форме для вызова представителя Поставщика</w:t>
      </w:r>
    </w:p>
    <w:p w14:paraId="1C000000">
      <w:pPr>
        <w:pStyle w:val="Style_4"/>
        <w:ind w:firstLine="283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3.3 </w:t>
      </w:r>
      <w:r>
        <w:rPr>
          <w:rFonts w:ascii="Times New Roman" w:hAnsi="Times New Roman"/>
          <w:sz w:val="23"/>
        </w:rPr>
        <w:t>При получении поставленного Товара от перевозчика Покупатель обязуется проверить соответствие Товара сведениям, указанным в транспортно-сопроводительных документах, а также принять этот Товар от перевозчика с соблюдением порядка и правил, предусмотренных нормативными актами, регулирующими деятельность перевозчика (железнодорожного, автомобильного и других видов транспорта)</w:t>
      </w:r>
    </w:p>
    <w:p w14:paraId="1D000000">
      <w:pPr>
        <w:pStyle w:val="Style_4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4. </w:t>
      </w:r>
      <w:r>
        <w:rPr>
          <w:rFonts w:ascii="Times New Roman" w:hAnsi="Times New Roman"/>
          <w:b w:val="1"/>
          <w:sz w:val="23"/>
        </w:rPr>
        <w:t>Качество поставляемого Товара</w:t>
      </w:r>
    </w:p>
    <w:p w14:paraId="1E000000">
      <w:pPr>
        <w:pStyle w:val="Style_4"/>
        <w:ind w:firstLine="28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4.1.</w:t>
      </w:r>
      <w:r>
        <w:rPr>
          <w:rFonts w:ascii="Times New Roman" w:hAnsi="Times New Roman"/>
          <w:sz w:val="23"/>
        </w:rPr>
        <w:t>Качество поставляемого Товара должно соответствовать требованиям технических регламентов и иных технических документов (ГОСТ, ТУ, ОСТ),  для данного Товара</w:t>
      </w:r>
    </w:p>
    <w:p w14:paraId="1F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4.2. </w:t>
      </w:r>
      <w:r>
        <w:rPr>
          <w:rFonts w:ascii="Times New Roman" w:hAnsi="Times New Roman"/>
          <w:sz w:val="23"/>
        </w:rPr>
        <w:t>В случае обнаружения Товара ненадлежащего качества в ходе его приемки или использования в производстве, Покупатель обязан в трехдневный срок сообщить об этом Поставщику в письменной форме для вызова представителя Поставщика.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4.3. Стороны договорились, что Товар, подлежащий замене как некачественный, до момента замены, должен храниться с соблюдением всех  правил хранения предусмотренных для данного вида товаров,  иметь транспортную упаковку и бирку изготовителя.</w:t>
      </w:r>
    </w:p>
    <w:p w14:paraId="21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4.4. Стороны договорились, что транспортные расходы, связанные с заменой некачественного Товара на Товар надлежащего качества несет Поставщик.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sz w:val="23"/>
        </w:rPr>
        <w:t>5. Порядок и формы расчетов</w:t>
      </w:r>
    </w:p>
    <w:p w14:paraId="23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5.1. Исходя из своих потребностей, Покупатель составляет заявку  на изготовление партии Товара. На основании заявки уполномоченными представителями сторон подписывается дополнительное соглашение (Спецификация) к договору  и (или) выставляется счет на оплату партии Товара.</w:t>
      </w:r>
    </w:p>
    <w:p w14:paraId="24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5.2. Товар оплачивается на следующих условиях: Покупатель производит предоплату в полном объёме перечислением денежных средств на расчётный счет Поставщика до момента отгрузки со склада Поставщика и (или) оказания услуги. По согласованию сторон возможны иные условия оплаты. Изменения в условиях оплаты фиксируются сторонами в дополнительном соглашении к договору (Спецификации). В случае отгрузки Товара Покупателю с отсрочкой платежа, Поставщик отгружает Покупателю Товар до момента, пока дебиторская задолженность не превысит сумму 100 000,00 (сто тысяч) Руб. При превышении указанной суммы и (или) срока оплаты, Покупатель оплачивает товар на условиях предварительной оплаты.</w:t>
      </w:r>
    </w:p>
    <w:p w14:paraId="25000000">
      <w:pPr>
        <w:pStyle w:val="Style_4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sz w:val="23"/>
        </w:rPr>
        <w:t>6. Ответственность сторон</w:t>
      </w:r>
    </w:p>
    <w:p w14:paraId="26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6.1. 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6.2.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вины.</w:t>
      </w:r>
    </w:p>
    <w:p w14:paraId="28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 этом отсутствие вины за неисполнение или ненадлежащее исполнение обязательств по настоящему договору доказывается стороной, нарушившей обязательства.</w:t>
      </w:r>
    </w:p>
    <w:p w14:paraId="29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6.3. За просрочку поставки Товара Поставщик уплачивает Покупателю неустойку в размере 0,1% от стоимости партии Товара, поставка которого просрочена, за каждый день просрочки, но не более 10% от общей суммы задолженности. Неустойка начисляется, и обязанности Поставщика по уплате неустойки возникают только при предъявлении соответствующего требования Покупателем.</w:t>
      </w:r>
    </w:p>
    <w:p w14:paraId="2A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6.4. За просрочку оплаты Товара, Услуги  Покупатель уплачивает Поставщику неустойку в размере 0,1% от суммы неоплаченного Товара, Услуги за каждый день просрочки, но не более 10% от общей суммы задолженности. Неустойка начисляется, и обязанности Покупателя по уплате неустойки возникают только при предъявлении соответствующего требования Поставщиком. Если такое требование Поставщиком не предъявлено, он вправе взыскать проценты, предусмотренные ст. 395 ГК РФ</w:t>
      </w:r>
    </w:p>
    <w:p w14:paraId="2B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6.5.  Уплата неустойки не освобождает стороны от исполнения обязательств по настоящему договору в полном объеме</w:t>
      </w:r>
    </w:p>
    <w:p w14:paraId="2C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6.6.  В случае расторжения Договора по инициативе Покупателя, а также в случае изменения коньюнктуры рынка и (или) потребительского спроса, и последовавшие в связи с этим изменения производственного цикла, либо иной причине, Покупатель обязан принять и оплатить изготовленный Поставщиком для него Товар, оказанную Услугу на условиях Договора по ценам, утвержденным в спецификации.</w:t>
      </w:r>
    </w:p>
    <w:p w14:paraId="2D000000">
      <w:pPr>
        <w:pStyle w:val="Style_4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sz w:val="23"/>
        </w:rPr>
        <w:t>7. Порядок разрешения споров</w:t>
      </w:r>
    </w:p>
    <w:p w14:paraId="2E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7.1. 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переговоров, обмена письмами, уточнения условий договора, составления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 Срок ответа на претензию установлен: 15 календарных дней с момента поступления письма (отправления) в почтовое отделение получателя, а при личном вручении – с момента вручения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7.2. При недостижении взаимоприемлемого решения стороны вправе передать спорный вопрос на разрешение в судебном порядке в Арбитражный суд по месту нахождении Истца.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sz w:val="23"/>
        </w:rPr>
        <w:t>8. Срок действия договора и порядок его пролонгации</w:t>
      </w:r>
    </w:p>
    <w:p w14:paraId="31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8.1. Настоящий договор вступает в силу с момента его подписания, с которого и становится обязательным для сторон, заключивших его,  и действует до 31.12.2024 г.</w:t>
      </w:r>
    </w:p>
    <w:p w14:paraId="32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8.2.  В случае если ни одна из сторон настоящего договора за 30 дней до его окончания не потребовала его расторжения, настоящий договор считается пролонгированным на тех же условиях на срок 12 месяцев.</w:t>
      </w:r>
    </w:p>
    <w:p w14:paraId="33000000">
      <w:pPr>
        <w:pStyle w:val="Style_4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sz w:val="23"/>
        </w:rPr>
        <w:t>9. Прочие условия</w:t>
      </w:r>
    </w:p>
    <w:p w14:paraId="34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9.1. Настоящий договор составлен в двух экземплярах на 3(трех) листах, имеющих одинаковую юридическую силу, по одному экземпляру для каждой из сторон.</w:t>
      </w:r>
    </w:p>
    <w:p w14:paraId="35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9.2. Стороны договорились, что все изменения и дополнения к настоящему договору, переданные по факсу или электронной почте имеют юридическую силу для обеих сторон до момента подтверждения их оригиналами.</w:t>
      </w:r>
    </w:p>
    <w:p w14:paraId="36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9.3. По всем вопросам, не нашедшим своего решения в тексте и условиях настоящего договора, но прямо или косвенно вытекающих из отношения сторон по нему, затрагивающих имущественные интересы и деловую репутацию сторон договора, стороны будут руководствоваться нормами и положениями действующего законодательства РФ</w:t>
      </w:r>
    </w:p>
    <w:p w14:paraId="37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9.4. </w:t>
      </w:r>
      <w:r>
        <w:rPr>
          <w:rFonts w:ascii="Times New Roman" w:hAnsi="Times New Roman"/>
          <w:sz w:val="23"/>
        </w:rPr>
        <w:t>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оригиналов:</w:t>
      </w:r>
    </w:p>
    <w:p w14:paraId="38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Электронная почта </w:t>
      </w:r>
      <w:r>
        <w:rPr>
          <w:rFonts w:ascii="Times New Roman" w:hAnsi="Times New Roman"/>
          <w:sz w:val="23"/>
        </w:rPr>
        <w:t>Поставщика</w:t>
      </w:r>
      <w:r>
        <w:rPr>
          <w:rFonts w:ascii="Times New Roman" w:hAnsi="Times New Roman"/>
          <w:sz w:val="23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  <w:highlight w:val="white"/>
        </w:rPr>
        <w:t>tsk_ural@bk.ru</w:t>
      </w:r>
    </w:p>
    <w:p w14:paraId="39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Электронная почта </w:t>
      </w:r>
      <w:r>
        <w:rPr>
          <w:rFonts w:ascii="Times New Roman" w:hAnsi="Times New Roman"/>
          <w:sz w:val="23"/>
        </w:rPr>
        <w:t>Покупателя</w:t>
      </w:r>
      <w:r>
        <w:rPr>
          <w:rFonts w:ascii="Times New Roman" w:hAnsi="Times New Roman"/>
          <w:sz w:val="23"/>
        </w:rPr>
        <w:t xml:space="preserve">: </w:t>
      </w:r>
      <w:r>
        <w:rPr>
          <w:rFonts w:ascii="Times New Roman" w:hAnsi="Times New Roman"/>
          <w:sz w:val="23"/>
        </w:rPr>
        <w:t>_____________________</w:t>
      </w:r>
    </w:p>
    <w:p w14:paraId="3A000000">
      <w:pPr>
        <w:pStyle w:val="Style_4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9.</w:t>
      </w:r>
      <w:r>
        <w:rPr>
          <w:rFonts w:ascii="Times New Roman" w:hAnsi="Times New Roman"/>
          <w:sz w:val="23"/>
        </w:rPr>
        <w:t>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B000000">
      <w:pPr>
        <w:pStyle w:val="Style_4"/>
        <w:ind/>
        <w:jc w:val="left"/>
        <w:rPr>
          <w:rFonts w:ascii="Times New Roman" w:hAnsi="Times New Roman"/>
          <w:sz w:val="24"/>
        </w:rPr>
      </w:pPr>
    </w:p>
    <w:tbl>
      <w:tblPr>
        <w:tblLayout w:type="fixed"/>
        <w:tblCellMar>
          <w:left w:type="dxa" w:w="0"/>
          <w:right w:type="dxa" w:w="0"/>
        </w:tblCellMar>
      </w:tblPr>
      <w:tblGrid>
        <w:gridCol w:w="570"/>
        <w:gridCol w:w="420"/>
        <w:gridCol w:w="420"/>
        <w:gridCol w:w="420"/>
        <w:gridCol w:w="420"/>
        <w:gridCol w:w="420"/>
        <w:gridCol w:w="399"/>
        <w:gridCol w:w="420"/>
        <w:gridCol w:w="200"/>
        <w:gridCol w:w="420"/>
        <w:gridCol w:w="420"/>
        <w:gridCol w:w="79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c>
          <w:tcPr>
            <w:tcW w:type="dxa" w:w="5324"/>
            <w:gridSpan w:val="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Поставщик</w:t>
            </w:r>
          </w:p>
        </w:tc>
        <w:tc>
          <w:tcPr>
            <w:tcW w:type="dxa" w:w="5040"/>
            <w:gridSpan w:val="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Покупатель</w:t>
            </w:r>
          </w:p>
        </w:tc>
      </w:tr>
      <w:tr>
        <w:tc>
          <w:tcPr>
            <w:tcW w:type="dxa" w:w="5324"/>
            <w:gridSpan w:val="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auto" w:val="clear"/>
            <w:tcMar>
              <w:left w:type="dxa" w:w="0"/>
              <w:right w:type="dxa" w:w="0"/>
            </w:tcMar>
            <w:vAlign w:val="top"/>
          </w:tcPr>
          <w:p w14:paraId="3E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Данилов  Сергей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Александрович</w:t>
            </w:r>
          </w:p>
          <w:p w14:paraId="3F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40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ИНН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741202747747 КПП нет</w:t>
            </w:r>
          </w:p>
          <w:p w14:paraId="41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ОГРН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308741203200021 ОКПО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0158817400</w:t>
            </w:r>
          </w:p>
          <w:p w14:paraId="42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43000000">
            <w:pPr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Расчётный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№40802810001500250504</w:t>
            </w:r>
          </w:p>
          <w:p w14:paraId="44000000">
            <w:pPr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Банк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ТОЧКА ПАО БАНКА "ФК ОТКРЫТИЕ"</w:t>
            </w:r>
          </w:p>
          <w:p w14:paraId="45000000">
            <w:pPr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БИК: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044525999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Город: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г. Москва</w:t>
            </w:r>
          </w:p>
          <w:p w14:paraId="46000000">
            <w:pPr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Корр. счет: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30101810845250000999</w:t>
            </w:r>
          </w:p>
          <w:p w14:paraId="47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ИНН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банка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7706092528</w:t>
            </w:r>
          </w:p>
          <w:p w14:paraId="48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49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Юр.адрес: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45655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Россия, Челябинская область, гор. Коркино, ул.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В.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Терешковой,  д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33,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кв.75</w:t>
            </w:r>
          </w:p>
          <w:p w14:paraId="4A000000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тел. (351) 270-77-66; 8-951-248-77-66</w:t>
            </w:r>
          </w:p>
          <w:p w14:paraId="4B000000">
            <w:pPr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e-mail: </w:t>
            </w:r>
            <w:r>
              <w:rPr>
                <w:rStyle w:val="Style_5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instrText>HYPERLINK "mailto:tsk_ural@bk.ru"</w:instrText>
            </w:r>
            <w:r>
              <w:rPr>
                <w:rStyle w:val="Style_5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tsk_ural@bk.ru</w:t>
            </w:r>
            <w:r>
              <w:rPr>
                <w:rStyle w:val="Style_5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fldChar w:fldCharType="end"/>
            </w:r>
          </w:p>
        </w:tc>
        <w:tc>
          <w:tcPr>
            <w:tcW w:type="dxa" w:w="5040"/>
            <w:gridSpan w:val="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auto" w:val="clear"/>
            <w:tcMar>
              <w:left w:type="dxa" w:w="0"/>
              <w:right w:type="dxa" w:w="0"/>
            </w:tcMar>
            <w:vAlign w:val="top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                          КПП 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ОГРНИП 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Расчётный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Банк 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БИК: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              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Город: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Корр. счет: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ИНН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банка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: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Юр.адрес: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>т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ел.: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</w:rPr>
              <w:t xml:space="preserve">e-mail: </w:t>
            </w:r>
          </w:p>
        </w:tc>
      </w:tr>
      <w:tr>
        <w:tc>
          <w:tcPr>
            <w:tcW w:type="dxa" w:w="570"/>
            <w:shd w:fill="auto" w:val="clear"/>
            <w:tcMar>
              <w:left w:type="dxa" w:w="0"/>
              <w:right w:type="dxa" w:w="0"/>
            </w:tcMar>
            <w:vAlign w:val="bottom"/>
          </w:tcPr>
          <w:p w14:paraId="5C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5D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5E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5F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0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1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9"/>
            <w:shd w:fill="auto" w:val="clear"/>
            <w:tcMar>
              <w:left w:type="dxa" w:w="0"/>
              <w:right w:type="dxa" w:w="0"/>
            </w:tcMar>
            <w:vAlign w:val="bottom"/>
          </w:tcPr>
          <w:p w14:paraId="62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3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"/>
            <w:shd w:fill="auto" w:val="clear"/>
            <w:tcMar>
              <w:left w:type="dxa" w:w="0"/>
              <w:right w:type="dxa" w:w="0"/>
            </w:tcMar>
            <w:vAlign w:val="bottom"/>
          </w:tcPr>
          <w:p w14:paraId="64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5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6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5"/>
            <w:shd w:fill="auto" w:val="clear"/>
            <w:tcMar>
              <w:left w:type="dxa" w:w="0"/>
              <w:right w:type="dxa" w:w="0"/>
            </w:tcMar>
            <w:vAlign w:val="bottom"/>
          </w:tcPr>
          <w:p w14:paraId="67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8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9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A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B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C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D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E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6F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70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71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72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  <w:tcMar>
              <w:left w:type="dxa" w:w="0"/>
              <w:right w:type="dxa" w:w="0"/>
            </w:tcMar>
            <w:vAlign w:val="bottom"/>
          </w:tcPr>
          <w:p w14:paraId="73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24"/>
            <w:gridSpan w:val="12"/>
            <w:shd w:fill="auto" w:val="clear"/>
            <w:tcMar>
              <w:left w:type="dxa" w:w="0"/>
              <w:right w:type="dxa" w:w="0"/>
            </w:tcMar>
            <w:vAlign w:val="bottom"/>
          </w:tcPr>
          <w:p w14:paraId="74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Поставщик:</w:t>
            </w:r>
          </w:p>
        </w:tc>
        <w:tc>
          <w:tcPr>
            <w:tcW w:type="dxa" w:w="5040"/>
            <w:gridSpan w:val="12"/>
            <w:shd w:fill="auto" w:val="clear"/>
            <w:tcMar>
              <w:left w:type="dxa" w:w="0"/>
              <w:right w:type="dxa" w:w="0"/>
            </w:tcMar>
            <w:vAlign w:val="bottom"/>
          </w:tcPr>
          <w:p w14:paraId="75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Покупатель:</w:t>
            </w:r>
          </w:p>
        </w:tc>
      </w:tr>
    </w:tbl>
    <w:sectPr>
      <w:footerReference r:id="rId3" w:type="default"/>
      <w:pgSz w:h="16837" w:orient="portrait" w:w="11905"/>
      <w:pgMar w:bottom="902" w:footer="720" w:gutter="0" w:header="720" w:left="1138" w:right="56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widowControl w:val="1"/>
      <w:spacing w:line="240" w:lineRule="auto"/>
      <w:ind w:firstLine="0" w:left="4569" w:right="-4042"/>
      <w:rPr>
        <w:rStyle w:val="Style_2_ch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widowControl w:val="1"/>
      <w:spacing w:line="240" w:lineRule="auto"/>
      <w:ind w:firstLine="0" w:left="4569" w:right="-4042"/>
      <w:rPr>
        <w:rStyle w:val="Style_2_ch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widowControl w:val="1"/>
      <w:ind w:firstLine="0" w:left="5165"/>
      <w:jc w:val="both"/>
      <w:rPr>
        <w:rStyle w:val="Style_2_ch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05" w:left="405"/>
      </w:pPr>
    </w:lvl>
    <w:lvl w:ilvl="1">
      <w:start w:val="1"/>
      <w:numFmt w:val="decimal"/>
      <w:lvlText w:val="%1.%2."/>
      <w:lvlJc w:val="left"/>
      <w:pPr>
        <w:ind w:hanging="405" w:left="630"/>
      </w:pPr>
    </w:lvl>
    <w:lvl w:ilvl="2">
      <w:start w:val="1"/>
      <w:numFmt w:val="decimal"/>
      <w:lvlText w:val="%1.%2.%3."/>
      <w:lvlJc w:val="left"/>
      <w:pPr>
        <w:ind w:hanging="720" w:left="1170"/>
      </w:pPr>
    </w:lvl>
    <w:lvl w:ilvl="3">
      <w:start w:val="1"/>
      <w:numFmt w:val="decimal"/>
      <w:lvlText w:val="%1.%2.%3.%4."/>
      <w:lvlJc w:val="left"/>
      <w:pPr>
        <w:ind w:hanging="720" w:left="1395"/>
      </w:pPr>
    </w:lvl>
    <w:lvl w:ilvl="4">
      <w:start w:val="1"/>
      <w:numFmt w:val="decimal"/>
      <w:lvlText w:val="%1.%2.%3.%4.%5."/>
      <w:lvlJc w:val="left"/>
      <w:pPr>
        <w:ind w:hanging="1080" w:left="1980"/>
      </w:pPr>
    </w:lvl>
    <w:lvl w:ilvl="5">
      <w:start w:val="1"/>
      <w:numFmt w:val="decimal"/>
      <w:lvlText w:val="%1.%2.%3.%4.%5.%6."/>
      <w:lvlJc w:val="left"/>
      <w:pPr>
        <w:ind w:hanging="1080" w:left="2205"/>
      </w:pPr>
    </w:lvl>
    <w:lvl w:ilvl="6">
      <w:start w:val="1"/>
      <w:numFmt w:val="decimal"/>
      <w:lvlText w:val="%1.%2.%3.%4.%5.%6.%7."/>
      <w:lvlJc w:val="left"/>
      <w:pPr>
        <w:ind w:hanging="1440" w:left="2790"/>
      </w:pPr>
    </w:lvl>
    <w:lvl w:ilvl="7">
      <w:start w:val="1"/>
      <w:numFmt w:val="decimal"/>
      <w:lvlText w:val="%1.%2.%3.%4.%5.%6.%7.%8."/>
      <w:lvlJc w:val="left"/>
      <w:pPr>
        <w:ind w:hanging="1440" w:left="3015"/>
      </w:pPr>
    </w:lvl>
    <w:lvl w:ilvl="8">
      <w:start w:val="1"/>
      <w:numFmt w:val="decimal"/>
      <w:lvlText w:val="%1.%2.%3.%4.%5.%6.%7.%8.%9."/>
      <w:lvlJc w:val="left"/>
      <w:pPr>
        <w:ind w:hanging="180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Style9"/>
    <w:basedOn w:val="Style_6"/>
    <w:link w:val="Style_1_ch"/>
    <w:pPr>
      <w:widowControl w:val="0"/>
      <w:spacing w:after="0" w:line="259" w:lineRule="exact"/>
      <w:ind/>
      <w:jc w:val="both"/>
    </w:pPr>
    <w:rPr>
      <w:rFonts w:ascii="Times New Roman" w:hAnsi="Times New Roman"/>
      <w:sz w:val="24"/>
    </w:rPr>
  </w:style>
  <w:style w:styleId="Style_1_ch" w:type="character">
    <w:name w:val="Style9"/>
    <w:basedOn w:val="Style_6_ch"/>
    <w:link w:val="Style_1"/>
    <w:rPr>
      <w:rFonts w:ascii="Times New Roman" w:hAnsi="Times New Roman"/>
      <w:sz w:val="24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3" w:type="paragraph">
    <w:name w:val="Style6"/>
    <w:basedOn w:val="Style_6"/>
    <w:link w:val="Style_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Style6"/>
    <w:basedOn w:val="Style_6_ch"/>
    <w:link w:val="Style_3"/>
    <w:rPr>
      <w:rFonts w:ascii="Times New Roman" w:hAnsi="Times New Roman"/>
      <w:sz w:val="24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No Spacing"/>
    <w:link w:val="Style_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12" w:type="paragraph">
    <w:name w:val="ConsPlusNormal"/>
    <w:link w:val="Style_12_ch"/>
    <w:pPr>
      <w:widowControl w:val="0"/>
      <w:spacing w:after="0" w:line="240" w:lineRule="auto"/>
      <w:ind/>
    </w:pPr>
    <w:rPr>
      <w:rFonts w:ascii="Calibri" w:hAnsi="Calibri"/>
    </w:rPr>
  </w:style>
  <w:style w:styleId="Style_12_ch" w:type="character">
    <w:name w:val="ConsPlusNormal"/>
    <w:link w:val="Style_12"/>
    <w:rPr>
      <w:rFonts w:ascii="Calibri" w:hAnsi="Calibri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Hyperlink"/>
    <w:basedOn w:val="Style_15"/>
    <w:link w:val="Style_5_ch"/>
    <w:rPr>
      <w:color w:val="0000FF"/>
      <w:u w:val="single"/>
    </w:rPr>
  </w:style>
  <w:style w:styleId="Style_5_ch" w:type="character">
    <w:name w:val="Hyperlink"/>
    <w:basedOn w:val="Style_15_ch"/>
    <w:link w:val="Style_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nt Style18"/>
    <w:link w:val="Style_20_ch"/>
    <w:rPr>
      <w:rFonts w:ascii="Times New Roman" w:hAnsi="Times New Roman"/>
      <w:b w:val="1"/>
      <w:sz w:val="20"/>
    </w:rPr>
  </w:style>
  <w:style w:styleId="Style_20_ch" w:type="character">
    <w:name w:val="Font Style18"/>
    <w:link w:val="Style_20"/>
    <w:rPr>
      <w:rFonts w:ascii="Times New Roman" w:hAnsi="Times New Roman"/>
      <w:b w:val="1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3_ch" w:type="character">
    <w:name w:val="ConsPlusNonformat"/>
    <w:link w:val="Style_23"/>
    <w:rPr>
      <w:rFonts w:ascii="Courier New" w:hAnsi="Courier New"/>
      <w:sz w:val="20"/>
    </w:rPr>
  </w:style>
  <w:style w:styleId="Style_24" w:type="paragraph">
    <w:name w:val="ConsNormal"/>
    <w:link w:val="Style_24_ch"/>
    <w:pPr>
      <w:spacing w:after="0" w:line="240" w:lineRule="auto"/>
      <w:ind/>
      <w:jc w:val="both"/>
    </w:pPr>
    <w:rPr>
      <w:rFonts w:ascii="Courier New" w:hAnsi="Courier New"/>
      <w:sz w:val="20"/>
    </w:rPr>
  </w:style>
  <w:style w:styleId="Style_24_ch" w:type="character">
    <w:name w:val="ConsNormal"/>
    <w:link w:val="Style_24"/>
    <w:rPr>
      <w:rFonts w:ascii="Courier New" w:hAnsi="Courier New"/>
      <w:sz w:val="20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Font Style19"/>
    <w:link w:val="Style_2_ch"/>
    <w:rPr>
      <w:rFonts w:ascii="Times New Roman" w:hAnsi="Times New Roman"/>
      <w:sz w:val="20"/>
    </w:rPr>
  </w:style>
  <w:style w:styleId="Style_2_ch" w:type="character">
    <w:name w:val="Font Style19"/>
    <w:link w:val="Style_2"/>
    <w:rPr>
      <w:rFonts w:ascii="Times New Roman" w:hAnsi="Times New Roman"/>
      <w:sz w:val="20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6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TitlePage"/>
    <w:link w:val="Style_3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31_ch" w:type="character">
    <w:name w:val="ConsPlusTitlePage"/>
    <w:link w:val="Style_31"/>
    <w:rPr>
      <w:rFonts w:ascii="Tahoma" w:hAnsi="Tahoma"/>
      <w:sz w:val="20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2023-12-21T10:29:03Z</dcterms:modified>
</cp:coreProperties>
</file>